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113" w:rsidRDefault="003E1DFF">
      <w:pPr>
        <w:pStyle w:val="Body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Junior League of Hamilton-Burlington, Inc. Policies</w:t>
      </w:r>
    </w:p>
    <w:p w:rsidR="00CC4113" w:rsidRDefault="00CC4113">
      <w:pPr>
        <w:pStyle w:val="Body"/>
        <w:jc w:val="center"/>
        <w:rPr>
          <w:b/>
          <w:bCs/>
          <w:sz w:val="26"/>
          <w:szCs w:val="26"/>
        </w:rPr>
      </w:pPr>
    </w:p>
    <w:p w:rsidR="00CC4113" w:rsidRDefault="00CC4113">
      <w:pPr>
        <w:pStyle w:val="Body"/>
        <w:jc w:val="center"/>
        <w:rPr>
          <w:b/>
          <w:bCs/>
          <w:sz w:val="26"/>
          <w:szCs w:val="26"/>
        </w:rPr>
      </w:pPr>
    </w:p>
    <w:p w:rsidR="00CC4113" w:rsidRDefault="003E1DFF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Policy Category:              FINANCIAL</w:t>
      </w:r>
    </w:p>
    <w:p w:rsidR="00CC4113" w:rsidRDefault="00CC4113">
      <w:pPr>
        <w:pStyle w:val="Body"/>
        <w:rPr>
          <w:b/>
          <w:bCs/>
          <w:sz w:val="24"/>
          <w:szCs w:val="24"/>
        </w:rPr>
      </w:pPr>
    </w:p>
    <w:p w:rsidR="00CC4113" w:rsidRDefault="003E1DFF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Policy:                              </w:t>
      </w:r>
      <w:r>
        <w:rPr>
          <w:sz w:val="24"/>
          <w:szCs w:val="24"/>
        </w:rPr>
        <w:t>Granting</w:t>
      </w:r>
    </w:p>
    <w:p w:rsidR="00CC4113" w:rsidRDefault="00CC4113">
      <w:pPr>
        <w:pStyle w:val="Body"/>
        <w:rPr>
          <w:sz w:val="24"/>
          <w:szCs w:val="24"/>
        </w:rPr>
      </w:pPr>
    </w:p>
    <w:p w:rsidR="00CC4113" w:rsidRDefault="003E1DFF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Scope:  </w:t>
      </w:r>
      <w:r>
        <w:rPr>
          <w:sz w:val="24"/>
          <w:szCs w:val="24"/>
        </w:rPr>
        <w:t xml:space="preserve">                            Treasurer, Board of Directors, Community Impact Committee</w:t>
      </w:r>
    </w:p>
    <w:p w:rsidR="00CC4113" w:rsidRDefault="00CC4113">
      <w:pPr>
        <w:pStyle w:val="Body"/>
        <w:rPr>
          <w:sz w:val="24"/>
          <w:szCs w:val="24"/>
        </w:rPr>
      </w:pPr>
    </w:p>
    <w:p w:rsidR="00CC4113" w:rsidRDefault="003E1DFF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Background:                   </w:t>
      </w:r>
      <w:r>
        <w:rPr>
          <w:sz w:val="24"/>
          <w:szCs w:val="24"/>
        </w:rPr>
        <w:t>The JLHB may provide grants to other charitable</w:t>
      </w:r>
    </w:p>
    <w:p w:rsidR="00CC4113" w:rsidRDefault="003E1DFF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organizations to support the JLHB Mission and Focus area </w:t>
      </w:r>
    </w:p>
    <w:p w:rsidR="00CC4113" w:rsidRDefault="00CC4113">
      <w:pPr>
        <w:pStyle w:val="Body"/>
        <w:rPr>
          <w:sz w:val="24"/>
          <w:szCs w:val="24"/>
        </w:rPr>
      </w:pPr>
    </w:p>
    <w:p w:rsidR="00CC4113" w:rsidRDefault="003E1DFF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>Expectations:</w:t>
      </w:r>
    </w:p>
    <w:p w:rsidR="00CC4113" w:rsidRDefault="003E1DFF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Grants are restricted to qualified donees as defined by the Canadian Revenue Agency:</w:t>
      </w:r>
    </w:p>
    <w:p w:rsidR="00CC4113" w:rsidRDefault="003E1DFF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      - a registered charity (including a registered national arts service organization)</w:t>
      </w:r>
    </w:p>
    <w:p w:rsidR="00CC4113" w:rsidRDefault="003E1DFF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      - a registered Canadian amateur athletic association</w:t>
      </w:r>
    </w:p>
    <w:p w:rsidR="00CC4113" w:rsidRDefault="003E1DFF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      - a registered housing corporation resident in Canada constituted exclusively to </w:t>
      </w:r>
    </w:p>
    <w:p w:rsidR="00CC4113" w:rsidRDefault="003E1DFF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        provide low-cost housing for the aged</w:t>
      </w:r>
    </w:p>
    <w:p w:rsidR="00CC4113" w:rsidRDefault="003E1DFF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      - a registered Canadian municipality</w:t>
      </w:r>
    </w:p>
    <w:p w:rsidR="00CC4113" w:rsidRDefault="003E1DFF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      - a registered municipal or public body performing a function of government in </w:t>
      </w:r>
    </w:p>
    <w:p w:rsidR="00CC4113" w:rsidRDefault="003E1DFF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        Canada</w:t>
      </w:r>
    </w:p>
    <w:p w:rsidR="00CC4113" w:rsidRDefault="003E1DFF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      - a registered university outside Canada that is prescribed to be a university, the </w:t>
      </w:r>
    </w:p>
    <w:p w:rsidR="00CC4113" w:rsidRDefault="003E1DFF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        student body of which normally includes student from Canada</w:t>
      </w:r>
    </w:p>
    <w:p w:rsidR="00CC4113" w:rsidRDefault="003E1DFF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      - a registered charitable organization outside Canada to which Her Majesty in</w:t>
      </w:r>
    </w:p>
    <w:p w:rsidR="00CC4113" w:rsidRDefault="003E1DFF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        Canada has made a gift</w:t>
      </w:r>
    </w:p>
    <w:p w:rsidR="00CC4113" w:rsidRDefault="003E1DFF" w:rsidP="00EA7657">
      <w:pPr>
        <w:pStyle w:val="Body"/>
        <w:ind w:left="425"/>
        <w:rPr>
          <w:sz w:val="24"/>
          <w:szCs w:val="24"/>
        </w:rPr>
      </w:pPr>
      <w:r>
        <w:rPr>
          <w:sz w:val="24"/>
          <w:szCs w:val="24"/>
        </w:rPr>
        <w:t xml:space="preserve">      - Her Majesty in right of Canada, a province, or a territory</w:t>
      </w:r>
      <w:r w:rsidR="00EA7657">
        <w:rPr>
          <w:sz w:val="24"/>
          <w:szCs w:val="24"/>
        </w:rPr>
        <w:t xml:space="preserve">; </w:t>
      </w:r>
      <w:r>
        <w:rPr>
          <w:sz w:val="24"/>
          <w:szCs w:val="24"/>
        </w:rPr>
        <w:t>the United Nations and its agencies</w:t>
      </w:r>
      <w:r w:rsidR="00EA7657">
        <w:rPr>
          <w:sz w:val="24"/>
          <w:szCs w:val="24"/>
        </w:rPr>
        <w:t xml:space="preserve">; </w:t>
      </w:r>
      <w:r>
        <w:rPr>
          <w:sz w:val="24"/>
          <w:szCs w:val="24"/>
        </w:rPr>
        <w:t>other qualified donees as defined by the Canadian Revenue Agency</w:t>
      </w:r>
    </w:p>
    <w:p w:rsidR="00CC4113" w:rsidRDefault="003E1DFF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JLHB will restrict its granting to within the geographic boundaries of the City of Hamilton and the City of Burlington.</w:t>
      </w:r>
    </w:p>
    <w:p w:rsidR="00CC4113" w:rsidRDefault="003E1DFF">
      <w:pPr>
        <w:pStyle w:val="Body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Grant recipients must address an area of need consistent with the Junior League Mission </w:t>
      </w:r>
      <w:r>
        <w:rPr>
          <w:sz w:val="24"/>
          <w:szCs w:val="24"/>
          <w:u w:val="single"/>
        </w:rPr>
        <w:t>and</w:t>
      </w:r>
      <w:r>
        <w:rPr>
          <w:sz w:val="24"/>
          <w:szCs w:val="24"/>
        </w:rPr>
        <w:t xml:space="preserve"> the current Focus area of the JLHB.</w:t>
      </w:r>
    </w:p>
    <w:p w:rsidR="00CC4113" w:rsidRDefault="003E1DFF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Community Impact Committee will review all requests for funding.</w:t>
      </w:r>
    </w:p>
    <w:p w:rsidR="00CC4113" w:rsidRDefault="003E1DFF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be considered for funding from the JLHB,</w:t>
      </w:r>
      <w:r>
        <w:rPr>
          <w:sz w:val="24"/>
          <w:szCs w:val="24"/>
          <w:lang w:val="it-IT"/>
        </w:rPr>
        <w:t xml:space="preserve"> applicant</w:t>
      </w:r>
      <w:r>
        <w:rPr>
          <w:sz w:val="24"/>
          <w:szCs w:val="24"/>
        </w:rPr>
        <w:t xml:space="preserve">s must submit a written request, which must include: </w:t>
      </w:r>
    </w:p>
    <w:p w:rsidR="00CC4113" w:rsidRDefault="003E1DFF">
      <w:pPr>
        <w:pStyle w:val="Default"/>
        <w:tabs>
          <w:tab w:val="left" w:pos="940"/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  <w:lang w:val="en-US"/>
        </w:rPr>
        <w:tab/>
        <w:t>A.</w:t>
      </w:r>
      <w:r>
        <w:rPr>
          <w:sz w:val="24"/>
          <w:szCs w:val="24"/>
          <w:lang w:val="en-US"/>
        </w:rPr>
        <w:tab/>
        <w:t>Purpose</w:t>
      </w:r>
    </w:p>
    <w:p w:rsidR="00CC4113" w:rsidRDefault="003E1DFF">
      <w:pPr>
        <w:pStyle w:val="Default"/>
        <w:tabs>
          <w:tab w:val="left" w:pos="940"/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</w:t>
      </w:r>
      <w:r>
        <w:rPr>
          <w:sz w:val="24"/>
          <w:szCs w:val="24"/>
        </w:rPr>
        <w:t>B.</w:t>
      </w:r>
      <w:r>
        <w:rPr>
          <w:sz w:val="24"/>
          <w:szCs w:val="24"/>
          <w:lang w:val="en-US"/>
        </w:rPr>
        <w:t xml:space="preserve">    Outcomes </w:t>
      </w:r>
    </w:p>
    <w:p w:rsidR="00CC4113" w:rsidRDefault="003E1DFF">
      <w:pPr>
        <w:pStyle w:val="Default"/>
        <w:tabs>
          <w:tab w:val="left" w:pos="940"/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C.    Relationship between applicant program and JLHB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Focus/issue area </w:t>
      </w:r>
    </w:p>
    <w:p w:rsidR="00CC4113" w:rsidRDefault="003E1DFF">
      <w:pPr>
        <w:pStyle w:val="Default"/>
        <w:tabs>
          <w:tab w:val="left" w:pos="940"/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  <w:lang w:val="da-DK"/>
        </w:rPr>
        <w:tab/>
        <w:t>D.</w:t>
      </w:r>
      <w:r>
        <w:rPr>
          <w:sz w:val="24"/>
          <w:szCs w:val="24"/>
          <w:lang w:val="da-DK"/>
        </w:rPr>
        <w:tab/>
        <w:t>Timeline</w:t>
      </w:r>
    </w:p>
    <w:p w:rsidR="00CC4113" w:rsidRDefault="003E1DFF">
      <w:pPr>
        <w:pStyle w:val="Default"/>
        <w:tabs>
          <w:tab w:val="left" w:pos="940"/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  <w:lang w:val="en-US"/>
        </w:rPr>
        <w:tab/>
        <w:t>E.</w:t>
      </w:r>
      <w:r>
        <w:rPr>
          <w:sz w:val="24"/>
          <w:szCs w:val="24"/>
          <w:lang w:val="en-US"/>
        </w:rPr>
        <w:tab/>
        <w:t>Marketing and communications plan to acknowledge the JLHB</w:t>
      </w:r>
    </w:p>
    <w:p w:rsidR="00CC4113" w:rsidRDefault="003E1DFF">
      <w:pPr>
        <w:pStyle w:val="Default"/>
        <w:tabs>
          <w:tab w:val="left" w:pos="940"/>
          <w:tab w:val="left" w:pos="1440"/>
        </w:tabs>
        <w:ind w:left="1440" w:hanging="1440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6.</w:t>
      </w:r>
      <w:r>
        <w:rPr>
          <w:sz w:val="24"/>
          <w:szCs w:val="24"/>
          <w:lang w:val="en-US"/>
        </w:rPr>
        <w:t xml:space="preserve">    Grant recipients must provide written acknowledgement of both receipt and specific use of </w:t>
      </w:r>
    </w:p>
    <w:p w:rsidR="00CC4113" w:rsidRDefault="003E1DFF">
      <w:pPr>
        <w:pStyle w:val="Default"/>
        <w:tabs>
          <w:tab w:val="left" w:pos="940"/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funds.</w:t>
      </w:r>
    </w:p>
    <w:p w:rsidR="00CC4113" w:rsidRDefault="003E1DFF">
      <w:pPr>
        <w:pStyle w:val="Default"/>
        <w:tabs>
          <w:tab w:val="left" w:pos="940"/>
          <w:tab w:val="left" w:pos="1440"/>
        </w:tabs>
        <w:ind w:left="1440" w:hanging="1440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7.</w:t>
      </w:r>
      <w:r>
        <w:rPr>
          <w:sz w:val="24"/>
          <w:szCs w:val="24"/>
          <w:lang w:val="en-US"/>
        </w:rPr>
        <w:t xml:space="preserve">    Recipients of funds from the JLHB agree to provide public recognition to the JLHB.</w:t>
      </w:r>
    </w:p>
    <w:p w:rsidR="00CC4113" w:rsidRDefault="003E1DFF">
      <w:pPr>
        <w:pStyle w:val="Default"/>
        <w:tabs>
          <w:tab w:val="left" w:pos="940"/>
          <w:tab w:val="left" w:pos="1440"/>
        </w:tabs>
        <w:ind w:left="1440" w:hanging="1440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8.</w:t>
      </w:r>
      <w:r>
        <w:rPr>
          <w:sz w:val="24"/>
          <w:szCs w:val="24"/>
          <w:lang w:val="en-US"/>
        </w:rPr>
        <w:t xml:space="preserve">    Grant applicants, whether successful or not, may re-apply annually for the same or </w:t>
      </w:r>
    </w:p>
    <w:p w:rsidR="00CC4113" w:rsidRDefault="003E1DFF">
      <w:pPr>
        <w:pStyle w:val="Default"/>
        <w:tabs>
          <w:tab w:val="left" w:pos="940"/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different programs.</w:t>
      </w:r>
    </w:p>
    <w:p w:rsidR="00CC4113" w:rsidRDefault="003E1DFF">
      <w:pPr>
        <w:pStyle w:val="Default"/>
        <w:tabs>
          <w:tab w:val="left" w:pos="940"/>
          <w:tab w:val="left" w:pos="1440"/>
        </w:tabs>
        <w:ind w:left="1440" w:hanging="1440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9. </w:t>
      </w:r>
      <w:r>
        <w:rPr>
          <w:sz w:val="24"/>
          <w:szCs w:val="24"/>
          <w:lang w:val="en-US"/>
        </w:rPr>
        <w:t xml:space="preserve">   JLHB will not grant funds for:</w:t>
      </w:r>
    </w:p>
    <w:p w:rsidR="00CC4113" w:rsidRDefault="003E1DFF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        - Sectarian religious purposes</w:t>
      </w:r>
    </w:p>
    <w:p w:rsidR="00CC4113" w:rsidRDefault="003E1DFF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        - Partisan political purposes</w:t>
      </w:r>
    </w:p>
    <w:p w:rsidR="00CC4113" w:rsidRDefault="003E1DFF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        - Loans </w:t>
      </w:r>
    </w:p>
    <w:p w:rsidR="00CC4113" w:rsidRDefault="003E1DFF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        - Personal benefit of a member</w:t>
      </w:r>
    </w:p>
    <w:p w:rsidR="00CC4113" w:rsidRDefault="00CC4113">
      <w:pPr>
        <w:pStyle w:val="Body"/>
        <w:rPr>
          <w:sz w:val="24"/>
          <w:szCs w:val="24"/>
        </w:rPr>
      </w:pPr>
    </w:p>
    <w:p w:rsidR="00CC4113" w:rsidRDefault="003E1DFF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>10.</w:t>
      </w:r>
      <w:r>
        <w:rPr>
          <w:sz w:val="24"/>
          <w:szCs w:val="24"/>
        </w:rPr>
        <w:t xml:space="preserve"> Discretionary Fund and Bursary Fund recipients are determined by the Community </w:t>
      </w:r>
    </w:p>
    <w:p w:rsidR="00CC4113" w:rsidRDefault="003E1DFF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 Impact Committee according to the re</w:t>
      </w:r>
      <w:r w:rsidR="00C52057">
        <w:rPr>
          <w:sz w:val="24"/>
          <w:szCs w:val="24"/>
        </w:rPr>
        <w:t>levant</w:t>
      </w:r>
      <w:r>
        <w:rPr>
          <w:sz w:val="24"/>
          <w:szCs w:val="24"/>
        </w:rPr>
        <w:t xml:space="preserve"> Policies.</w:t>
      </w:r>
    </w:p>
    <w:p w:rsidR="00792D83" w:rsidRDefault="003E1DFF" w:rsidP="00792D83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>
        <w:rPr>
          <w:sz w:val="24"/>
          <w:szCs w:val="24"/>
        </w:rPr>
        <w:t>.</w:t>
      </w:r>
      <w:r w:rsidR="00792D83">
        <w:rPr>
          <w:sz w:val="24"/>
          <w:szCs w:val="24"/>
        </w:rPr>
        <w:t xml:space="preserve"> R</w:t>
      </w:r>
      <w:r>
        <w:rPr>
          <w:sz w:val="24"/>
          <w:szCs w:val="24"/>
        </w:rPr>
        <w:t>eallocation of funds within an approved budget mus</w:t>
      </w:r>
      <w:r w:rsidR="00792D83">
        <w:rPr>
          <w:sz w:val="24"/>
          <w:szCs w:val="24"/>
        </w:rPr>
        <w:t xml:space="preserve">t </w:t>
      </w:r>
      <w:r>
        <w:rPr>
          <w:sz w:val="24"/>
          <w:szCs w:val="24"/>
        </w:rPr>
        <w:t>be approved by the Management Team</w:t>
      </w:r>
      <w:r w:rsidR="00792D83">
        <w:rPr>
          <w:sz w:val="24"/>
          <w:szCs w:val="24"/>
        </w:rPr>
        <w:t xml:space="preserve">. </w:t>
      </w:r>
    </w:p>
    <w:p w:rsidR="00CC4113" w:rsidRDefault="00792D83" w:rsidP="00792D83">
      <w:pPr>
        <w:pStyle w:val="Body"/>
        <w:rPr>
          <w:sz w:val="24"/>
          <w:szCs w:val="24"/>
        </w:rPr>
      </w:pPr>
      <w:r w:rsidRPr="00792D83">
        <w:rPr>
          <w:b/>
          <w:sz w:val="24"/>
          <w:szCs w:val="24"/>
        </w:rPr>
        <w:t>12</w:t>
      </w:r>
      <w:r>
        <w:rPr>
          <w:sz w:val="24"/>
          <w:szCs w:val="24"/>
        </w:rPr>
        <w:t>. Requests for funds</w:t>
      </w:r>
      <w:r w:rsidR="003E1DFF">
        <w:rPr>
          <w:sz w:val="24"/>
          <w:szCs w:val="24"/>
        </w:rPr>
        <w:t xml:space="preserve"> </w:t>
      </w:r>
      <w:proofErr w:type="gramStart"/>
      <w:r w:rsidR="00C52057">
        <w:rPr>
          <w:sz w:val="24"/>
          <w:szCs w:val="24"/>
        </w:rPr>
        <w:t>in excess of</w:t>
      </w:r>
      <w:proofErr w:type="gramEnd"/>
      <w:r w:rsidR="00C52057">
        <w:rPr>
          <w:sz w:val="24"/>
          <w:szCs w:val="24"/>
        </w:rPr>
        <w:t xml:space="preserve"> the budget </w:t>
      </w:r>
      <w:r>
        <w:rPr>
          <w:sz w:val="24"/>
          <w:szCs w:val="24"/>
        </w:rPr>
        <w:t xml:space="preserve">will be </w:t>
      </w:r>
      <w:r w:rsidR="003E1DFF">
        <w:rPr>
          <w:sz w:val="24"/>
          <w:szCs w:val="24"/>
        </w:rPr>
        <w:t xml:space="preserve">submitted </w:t>
      </w:r>
      <w:r>
        <w:rPr>
          <w:sz w:val="24"/>
          <w:szCs w:val="24"/>
        </w:rPr>
        <w:t xml:space="preserve">by the Community Impact </w:t>
      </w:r>
      <w:r w:rsidR="00D42ADC">
        <w:rPr>
          <w:sz w:val="24"/>
          <w:szCs w:val="24"/>
        </w:rPr>
        <w:t xml:space="preserve">Committee </w:t>
      </w:r>
      <w:r w:rsidR="003E1DFF">
        <w:rPr>
          <w:sz w:val="24"/>
          <w:szCs w:val="24"/>
        </w:rPr>
        <w:t>in writing to the Executive Vice President and Treasurer</w:t>
      </w:r>
      <w:r w:rsidR="00C52057">
        <w:rPr>
          <w:sz w:val="24"/>
          <w:szCs w:val="24"/>
        </w:rPr>
        <w:t xml:space="preserve"> to be voted</w:t>
      </w:r>
      <w:r w:rsidR="0089302F">
        <w:rPr>
          <w:sz w:val="24"/>
          <w:szCs w:val="24"/>
        </w:rPr>
        <w:t xml:space="preserve"> upon by the Board</w:t>
      </w:r>
      <w:r w:rsidR="003E1DFF">
        <w:rPr>
          <w:sz w:val="24"/>
          <w:szCs w:val="24"/>
        </w:rPr>
        <w:t xml:space="preserve">. The request must include the amount requested, intended use and rationale. </w:t>
      </w:r>
    </w:p>
    <w:p w:rsidR="00CC4113" w:rsidRDefault="00CC4113">
      <w:pPr>
        <w:pStyle w:val="Body"/>
        <w:rPr>
          <w:b/>
          <w:bCs/>
          <w:sz w:val="26"/>
          <w:szCs w:val="26"/>
        </w:rPr>
      </w:pPr>
    </w:p>
    <w:p w:rsidR="00CC4113" w:rsidRDefault="003E1DFF">
      <w:pPr>
        <w:pStyle w:val="Default"/>
        <w:tabs>
          <w:tab w:val="left" w:pos="940"/>
          <w:tab w:val="left" w:pos="1440"/>
        </w:tabs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:rsidR="00CC4113" w:rsidRDefault="00CC4113">
      <w:pPr>
        <w:pStyle w:val="Default"/>
        <w:tabs>
          <w:tab w:val="left" w:pos="940"/>
          <w:tab w:val="left" w:pos="1440"/>
        </w:tabs>
        <w:spacing w:after="240"/>
        <w:ind w:left="1440" w:hanging="1440"/>
        <w:rPr>
          <w:rFonts w:ascii="Arial" w:eastAsia="Arial" w:hAnsi="Arial" w:cs="Arial"/>
          <w:sz w:val="24"/>
          <w:szCs w:val="24"/>
        </w:rPr>
      </w:pPr>
    </w:p>
    <w:p w:rsidR="00CC4113" w:rsidRDefault="00CC4113">
      <w:pPr>
        <w:pStyle w:val="Body"/>
        <w:rPr>
          <w:sz w:val="26"/>
          <w:szCs w:val="26"/>
        </w:rPr>
      </w:pPr>
    </w:p>
    <w:p w:rsidR="00CC4113" w:rsidRDefault="00CC4113">
      <w:pPr>
        <w:pStyle w:val="Body"/>
        <w:rPr>
          <w:sz w:val="26"/>
          <w:szCs w:val="26"/>
        </w:rPr>
      </w:pPr>
    </w:p>
    <w:p w:rsidR="00CC4113" w:rsidRDefault="00CC4113">
      <w:pPr>
        <w:pStyle w:val="Body"/>
        <w:rPr>
          <w:sz w:val="26"/>
          <w:szCs w:val="26"/>
        </w:rPr>
      </w:pPr>
    </w:p>
    <w:p w:rsidR="00CC4113" w:rsidRDefault="00CC4113">
      <w:pPr>
        <w:pStyle w:val="Body"/>
        <w:rPr>
          <w:sz w:val="26"/>
          <w:szCs w:val="26"/>
        </w:rPr>
      </w:pPr>
    </w:p>
    <w:p w:rsidR="00CC4113" w:rsidRDefault="00CC4113">
      <w:pPr>
        <w:pStyle w:val="Body"/>
        <w:rPr>
          <w:sz w:val="24"/>
          <w:szCs w:val="24"/>
        </w:rPr>
      </w:pPr>
    </w:p>
    <w:p w:rsidR="00CC4113" w:rsidRDefault="00CC4113">
      <w:pPr>
        <w:pStyle w:val="Body"/>
        <w:rPr>
          <w:sz w:val="26"/>
          <w:szCs w:val="26"/>
        </w:rPr>
      </w:pPr>
    </w:p>
    <w:p w:rsidR="00CC4113" w:rsidRDefault="00CC4113">
      <w:pPr>
        <w:pStyle w:val="Body"/>
        <w:rPr>
          <w:sz w:val="26"/>
          <w:szCs w:val="26"/>
        </w:rPr>
      </w:pPr>
    </w:p>
    <w:p w:rsidR="00CC4113" w:rsidRDefault="00CC4113">
      <w:pPr>
        <w:pStyle w:val="Body"/>
        <w:rPr>
          <w:sz w:val="26"/>
          <w:szCs w:val="26"/>
        </w:rPr>
      </w:pPr>
    </w:p>
    <w:p w:rsidR="00CC4113" w:rsidRDefault="00CC4113">
      <w:pPr>
        <w:pStyle w:val="Body"/>
        <w:rPr>
          <w:sz w:val="26"/>
          <w:szCs w:val="26"/>
        </w:rPr>
      </w:pPr>
    </w:p>
    <w:p w:rsidR="00CC4113" w:rsidRDefault="00CC4113">
      <w:pPr>
        <w:pStyle w:val="Body"/>
        <w:rPr>
          <w:sz w:val="26"/>
          <w:szCs w:val="26"/>
        </w:rPr>
      </w:pPr>
    </w:p>
    <w:p w:rsidR="00CC4113" w:rsidRDefault="00CC4113">
      <w:pPr>
        <w:pStyle w:val="Body"/>
        <w:rPr>
          <w:sz w:val="26"/>
          <w:szCs w:val="26"/>
        </w:rPr>
      </w:pPr>
    </w:p>
    <w:p w:rsidR="00CC4113" w:rsidRDefault="003E1DFF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>Policy Monitored By:</w:t>
      </w:r>
      <w:r>
        <w:rPr>
          <w:sz w:val="24"/>
          <w:szCs w:val="24"/>
        </w:rPr>
        <w:t xml:space="preserve">          JLHB Treasurer, Community Impact Committee</w:t>
      </w:r>
    </w:p>
    <w:p w:rsidR="00CC4113" w:rsidRDefault="00CC4113">
      <w:pPr>
        <w:pStyle w:val="Body"/>
        <w:rPr>
          <w:sz w:val="24"/>
          <w:szCs w:val="24"/>
        </w:rPr>
      </w:pPr>
    </w:p>
    <w:p w:rsidR="00CC4113" w:rsidRDefault="003E1DFF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Policy Revision-</w:t>
      </w:r>
    </w:p>
    <w:p w:rsidR="00CC4113" w:rsidRDefault="003E1DFF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>Approval Required By:</w:t>
      </w:r>
      <w:r>
        <w:rPr>
          <w:sz w:val="24"/>
          <w:szCs w:val="24"/>
        </w:rPr>
        <w:t xml:space="preserve">       Board of Directors</w:t>
      </w:r>
    </w:p>
    <w:p w:rsidR="00CC4113" w:rsidRDefault="00CC4113">
      <w:pPr>
        <w:pStyle w:val="Body"/>
        <w:rPr>
          <w:sz w:val="24"/>
          <w:szCs w:val="24"/>
        </w:rPr>
      </w:pPr>
    </w:p>
    <w:p w:rsidR="00CC4113" w:rsidRPr="00792D83" w:rsidRDefault="003E1DFF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Effective Date of Policy: </w:t>
      </w:r>
      <w:r>
        <w:rPr>
          <w:sz w:val="24"/>
          <w:szCs w:val="24"/>
        </w:rPr>
        <w:t xml:space="preserve"> </w:t>
      </w:r>
      <w:r>
        <w:rPr>
          <w:sz w:val="26"/>
          <w:szCs w:val="26"/>
        </w:rPr>
        <w:t xml:space="preserve"> </w:t>
      </w:r>
      <w:r w:rsidR="00792D83">
        <w:rPr>
          <w:sz w:val="26"/>
          <w:szCs w:val="26"/>
        </w:rPr>
        <w:t xml:space="preserve">  </w:t>
      </w:r>
      <w:r w:rsidR="00792D83" w:rsidRPr="00792D83">
        <w:rPr>
          <w:sz w:val="24"/>
          <w:szCs w:val="24"/>
        </w:rPr>
        <w:t>26February2018</w:t>
      </w:r>
    </w:p>
    <w:sectPr w:rsidR="00CC4113" w:rsidRPr="00792D83">
      <w:headerReference w:type="default" r:id="rId7"/>
      <w:footerReference w:type="default" r:id="rId8"/>
      <w:pgSz w:w="12240" w:h="15840"/>
      <w:pgMar w:top="720" w:right="1080" w:bottom="720" w:left="108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09B" w:rsidRDefault="0076209B">
      <w:r>
        <w:separator/>
      </w:r>
    </w:p>
  </w:endnote>
  <w:endnote w:type="continuationSeparator" w:id="0">
    <w:p w:rsidR="0076209B" w:rsidRDefault="0076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113" w:rsidRDefault="00CC41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09B" w:rsidRDefault="0076209B">
      <w:r>
        <w:separator/>
      </w:r>
    </w:p>
  </w:footnote>
  <w:footnote w:type="continuationSeparator" w:id="0">
    <w:p w:rsidR="0076209B" w:rsidRDefault="00762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113" w:rsidRDefault="00CC41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4796A"/>
    <w:multiLevelType w:val="hybridMultilevel"/>
    <w:tmpl w:val="A3184F96"/>
    <w:numStyleLink w:val="Numbered"/>
  </w:abstractNum>
  <w:abstractNum w:abstractNumId="1" w15:restartNumberingAfterBreak="0">
    <w:nsid w:val="4E5D1396"/>
    <w:multiLevelType w:val="hybridMultilevel"/>
    <w:tmpl w:val="16400AB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541C0D"/>
    <w:multiLevelType w:val="hybridMultilevel"/>
    <w:tmpl w:val="A3184F96"/>
    <w:styleLink w:val="Numbered"/>
    <w:lvl w:ilvl="0" w:tplc="8D78D9C6">
      <w:start w:val="1"/>
      <w:numFmt w:val="decimal"/>
      <w:lvlText w:val="%1."/>
      <w:lvlJc w:val="left"/>
      <w:pPr>
        <w:ind w:left="42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566D60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B63A02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ACFF70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AA0F8E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0EAE58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3C269E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3E959C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9A54EE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 w:tplc="5B703F0E">
        <w:start w:val="1"/>
        <w:numFmt w:val="decimal"/>
        <w:lvlText w:val="%1."/>
        <w:lvlJc w:val="left"/>
        <w:pPr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E84B1F4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9FE722C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BFE5A2A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FA0C2F6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E94BECA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C12B638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B8CFA80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5143644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113"/>
    <w:rsid w:val="003E1DFF"/>
    <w:rsid w:val="00733AB7"/>
    <w:rsid w:val="0076209B"/>
    <w:rsid w:val="00792D83"/>
    <w:rsid w:val="0089302F"/>
    <w:rsid w:val="009E7626"/>
    <w:rsid w:val="00BA5DD9"/>
    <w:rsid w:val="00C52057"/>
    <w:rsid w:val="00CC4113"/>
    <w:rsid w:val="00D42ADC"/>
    <w:rsid w:val="00E43235"/>
    <w:rsid w:val="00EA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37FD9"/>
  <w15:docId w15:val="{6232B5EB-9192-407A-B683-A1108477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jlhb</cp:lastModifiedBy>
  <cp:revision>2</cp:revision>
  <cp:lastPrinted>2018-02-22T13:59:00Z</cp:lastPrinted>
  <dcterms:created xsi:type="dcterms:W3CDTF">2018-03-01T21:24:00Z</dcterms:created>
  <dcterms:modified xsi:type="dcterms:W3CDTF">2018-03-01T21:24:00Z</dcterms:modified>
</cp:coreProperties>
</file>